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jc w:val="both"/>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方正小标宋_GBK" w:cs="Times New Roman"/>
          <w:kern w:val="2"/>
          <w:sz w:val="44"/>
          <w:szCs w:val="44"/>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2021年度连云港市社会教育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方正小标宋_GBK" w:cs="Times New Roman"/>
          <w:kern w:val="2"/>
          <w:sz w:val="44"/>
          <w:szCs w:val="44"/>
          <w:lang w:val="en-US" w:eastAsia="zh-CN" w:bidi="ar-SA"/>
        </w:rPr>
      </w:pPr>
      <w:r>
        <w:rPr>
          <w:rFonts w:hint="default" w:ascii="Times New Roman" w:hAnsi="Times New Roman" w:eastAsia="方正小标宋_GBK" w:cs="Times New Roman"/>
          <w:kern w:val="2"/>
          <w:sz w:val="44"/>
          <w:szCs w:val="44"/>
          <w:lang w:val="en-US" w:eastAsia="zh-CN" w:bidi="ar-SA"/>
        </w:rPr>
        <w:t>和民办教育研究课题申报选题</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一、重点项目（不少于20000字）</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1.连云港市民办教育发展报告</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2.连云港市中小学校外培训机构现状调查、问题分析及对策研究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3.连云港市社区教育发展现状与模式构建研究</w:t>
      </w:r>
    </w:p>
    <w:p>
      <w:pPr>
        <w:spacing w:line="560" w:lineRule="exact"/>
        <w:ind w:firstLine="640" w:firstLineChars="200"/>
        <w:rPr>
          <w:rFonts w:hint="eastAsia" w:ascii="黑体" w:hAnsi="黑体" w:eastAsia="黑体" w:cs="黑体"/>
          <w:sz w:val="32"/>
          <w:szCs w:val="32"/>
        </w:rPr>
      </w:pPr>
      <w:r>
        <w:rPr>
          <w:rFonts w:hint="eastAsia" w:ascii="Times New Roman" w:hAnsi="Times New Roman" w:eastAsia="黑体" w:cs="Times New Roman"/>
          <w:kern w:val="2"/>
          <w:sz w:val="32"/>
          <w:szCs w:val="32"/>
          <w:lang w:val="en-US" w:eastAsia="zh-CN" w:bidi="ar-SA"/>
        </w:rPr>
        <w:t>二、一般项目（不少于5000字，其中资助项目10个，自筹经费项目10个，由评审组根据申报材料质量，按成绩由高至低筛选）</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1.连云港市老年教育现状与发展研究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2.连云港市社区教育服务乡村振兴战略研究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3.连云港市民办学校（含非学历教育培训机构）师资队伍规范、提升问题分析及对策研究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4.分类管理背景下我市民办学校（含非学历教育培训机构）面临的问题及对策研究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5.分类登记过程中现有民办学校（含非学历教育培训机构）的过渡和财务清算等问题分析及对策研究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6.连云港市与省内各市民办非学历教育培训机构监管和执法问题对比分析及对策研究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7.连云港市与省内各市民办教育发展比较及对策研究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8.连云港市中小学学科类校外培训机构资金监管问题及对策研究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9.连云港市民办教育行业自律机制研究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10行业协会在连云港市民办教育发展中的功能定位和作用研究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11.连云港市社区教育融入社区治理的方式与途径研究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12.连云港市县区民办教育、社区教育发展评价体系研究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13.连云港市高校参与社会教育的路径研究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14.连云港市行业协会开展社会教育的路径研究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15.连云港市民办学校（含非学历教育培训机构）党建工作研究</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黑体" w:cs="Times New Roman"/>
          <w:kern w:val="2"/>
          <w:sz w:val="32"/>
          <w:szCs w:val="32"/>
          <w:lang w:val="en-US" w:eastAsia="zh-CN" w:bidi="ar-SA"/>
        </w:rPr>
      </w:pPr>
    </w:p>
    <w:p>
      <w:pPr>
        <w:spacing w:line="600" w:lineRule="exact"/>
        <w:jc w:val="left"/>
        <w:rPr>
          <w:rFonts w:hint="default" w:ascii="Times New Roman" w:hAnsi="Times New Roman" w:eastAsia="黑体" w:cs="Times New Roman"/>
          <w:sz w:val="34"/>
          <w:szCs w:val="34"/>
        </w:rPr>
      </w:pPr>
    </w:p>
    <w:p>
      <w:pPr>
        <w:spacing w:line="600" w:lineRule="exact"/>
        <w:jc w:val="left"/>
        <w:rPr>
          <w:rFonts w:hint="default" w:ascii="Times New Roman" w:hAnsi="Times New Roman" w:eastAsia="黑体" w:cs="Times New Roman"/>
          <w:sz w:val="34"/>
          <w:szCs w:val="34"/>
        </w:rPr>
      </w:pPr>
    </w:p>
    <w:p>
      <w:pPr>
        <w:spacing w:line="600" w:lineRule="exact"/>
        <w:jc w:val="left"/>
        <w:rPr>
          <w:rFonts w:hint="default" w:ascii="Times New Roman" w:hAnsi="Times New Roman" w:eastAsia="黑体" w:cs="Times New Roman"/>
          <w:sz w:val="34"/>
          <w:szCs w:val="34"/>
        </w:rPr>
      </w:pPr>
    </w:p>
    <w:p>
      <w:pPr>
        <w:spacing w:line="600" w:lineRule="exact"/>
        <w:jc w:val="left"/>
        <w:rPr>
          <w:rFonts w:hint="default" w:ascii="Times New Roman" w:hAnsi="Times New Roman" w:eastAsia="黑体" w:cs="Times New Roman"/>
          <w:sz w:val="34"/>
          <w:szCs w:val="34"/>
        </w:rPr>
      </w:pPr>
    </w:p>
    <w:p>
      <w:pPr>
        <w:spacing w:line="600" w:lineRule="exact"/>
        <w:jc w:val="left"/>
        <w:rPr>
          <w:rFonts w:hint="default" w:ascii="Times New Roman" w:hAnsi="Times New Roman" w:eastAsia="黑体" w:cs="Times New Roman"/>
          <w:sz w:val="34"/>
          <w:szCs w:val="34"/>
        </w:rPr>
      </w:pPr>
    </w:p>
    <w:p>
      <w:pPr>
        <w:spacing w:line="600" w:lineRule="exact"/>
        <w:jc w:val="left"/>
        <w:rPr>
          <w:rFonts w:hint="default" w:ascii="Times New Roman" w:hAnsi="Times New Roman" w:eastAsia="黑体" w:cs="Times New Roman"/>
          <w:sz w:val="34"/>
          <w:szCs w:val="34"/>
        </w:rPr>
      </w:pPr>
    </w:p>
    <w:p>
      <w:bookmarkStart w:id="0" w:name="_GoBack"/>
      <w:bookmarkEnd w:id="0"/>
    </w:p>
    <w:sectPr>
      <w:footerReference r:id="rId3" w:type="default"/>
      <w:pgSz w:w="11906" w:h="16838"/>
      <w:pgMar w:top="1984" w:right="1531" w:bottom="1417"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8255</wp:posOffset>
              </wp:positionV>
              <wp:extent cx="9226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22655" cy="1828800"/>
                      </a:xfrm>
                      <a:prstGeom prst="rect">
                        <a:avLst/>
                      </a:prstGeom>
                      <a:noFill/>
                      <a:ln>
                        <a:noFill/>
                      </a:ln>
                    </wps:spPr>
                    <wps:txbx>
                      <w:txbxContent>
                        <w:p>
                          <w:pPr>
                            <w:pStyle w:val="3"/>
                            <w:ind w:firstLine="280" w:firstLineChars="10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lIns="0" tIns="0" rIns="0" bIns="0" upright="0">
                      <a:spAutoFit/>
                    </wps:bodyPr>
                  </wps:wsp>
                </a:graphicData>
              </a:graphic>
            </wp:anchor>
          </w:drawing>
        </mc:Choice>
        <mc:Fallback>
          <w:pict>
            <v:shape id="_x0000_s1026" o:spid="_x0000_s1026" o:spt="202" type="#_x0000_t202" style="position:absolute;left:0pt;margin-top:0.65pt;height:144pt;width:72.65pt;mso-position-horizontal:outside;mso-position-horizontal-relative:margin;z-index:251659264;mso-width-relative:page;mso-height-relative:page;" filled="f" stroked="f" coordsize="21600,21600" o:gfxdata="UEsDBAoAAAAAAIdO4kAAAAAAAAAAAAAAAAAEAAAAZHJzL1BLAwQUAAAACACHTuJAynQdgdQAAAAG&#10;AQAADwAAAGRycy9kb3ducmV2LnhtbE2PMU/DMBCFdyT+g3VILIg6TqFq0zgdECxstCxsbnxNIuxz&#10;FLtJ6K/nOsF2797pve/K3eydGHGIXSANapGBQKqD7ajR8Hl4e1yDiMmQNS4QavjBCLvq9qY0hQ0T&#10;feC4T43gEIqF0dCm1BdSxrpFb+Ii9EjsncLgTWI5NNIOZuJw72SeZSvpTUfc0JoeX1qsv/dnr2E1&#10;v/YP7xvMp0vtRvq6KJVQaX1/p7ItiIRz+juGKz6jQ8VMx3AmG4XTwI8k3i5BXM2nZx6OGvL1Zgmy&#10;KuV//OoXUEsDBBQAAAAIAIdO4kDOa/hGxgEAAIwDAAAOAAAAZHJzL2Uyb0RvYy54bWytU0tu2zAQ&#10;3RfoHQjua8kCEjiC5aCFkaJA0QRIcwCaIi0C/IFDW/IF2htk1U33PZfP0SElO22yySIbajQzevPe&#10;42h5PRhN9iKAcrah81lJibDctcpuG/rw/ebDghKIzLZMOysaehBAr1fv3y17X4vKdU63IhAEsVD3&#10;vqFdjL4uCuCdMAxmzguLRemCYRFfw7ZoA+sR3eiiKsvLoneh9cFxAYDZ9VikE2J4DaCTUnGxdnxn&#10;hI0jahCaRZQEnfJAV5mtlILHWylBRKIbikpjPnEIxpt0Fqslq7eB+U7xiQJ7DYVnmgxTFoeeodYs&#10;MrIL6gWUUTw4cDLOuDPFKCQ7girm5TNv7jvmRdaCVoM/mw5vB8u/7e8CUS1uAiWWGbzw4+PP468/&#10;x98/yDzZ03uoseveY18cPrkhtU55wGRSPchg0hP1EKyjuYezuWKIhGPyqqouLy4o4ViaL6rFoszu&#10;F09f+wDxs3CGpKChAS8ve8r2XyHiRGw9taRh1t0orfMFavtfAhtTpkjUR4opisNmmHhvXHtAOfqL&#10;RSvTWpyCcAo2p2Dng9p2eW/SDPAfdxEHZz4JdYSahuElZZrTQqUt+Pc9dz39RK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nQdgdQAAAAGAQAADwAAAAAAAAABACAAAAAiAAAAZHJzL2Rvd25yZXYu&#10;eG1sUEsBAhQAFAAAAAgAh07iQM5r+EbGAQAAjAMAAA4AAAAAAAAAAQAgAAAAIwEAAGRycy9lMm9E&#10;b2MueG1sUEsFBgAAAAAGAAYAWQEAAFsFAAAAAA==&#10;">
              <v:fill on="f" focussize="0,0"/>
              <v:stroke on="f"/>
              <v:imagedata o:title=""/>
              <o:lock v:ext="edit" aspectratio="f"/>
              <v:textbox inset="0mm,0mm,0mm,0mm" style="mso-fit-shape-to-text:t;">
                <w:txbxContent>
                  <w:p>
                    <w:pPr>
                      <w:pStyle w:val="3"/>
                      <w:ind w:firstLine="280" w:firstLineChars="100"/>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864CC"/>
    <w:rsid w:val="43B864CC"/>
    <w:rsid w:val="76F3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font1 style1"/>
    <w:basedOn w:val="1"/>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2021-04-12T10:57:00Z</dcterms:created>
  <dc:creator>兰舟</dc:creator>
  <cp:lastModifiedBy>兰舟</cp:lastModifiedBy>
  <dcterms:modified xsi:type="dcterms:W3CDTF">2021-04-12T10:59:17Z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FA79EB047F3E44CC94480F889D694999</vt:lpwstr>
  </property>
</Properties>
</file>