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华文楷体" w:hAnsi="华文楷体" w:eastAsia="华文楷体"/>
          <w:b/>
          <w:bCs/>
          <w:sz w:val="32"/>
          <w:szCs w:val="32"/>
        </w:rPr>
      </w:pPr>
      <w:r>
        <w:rPr>
          <w:rFonts w:hint="eastAsia" w:ascii="华文楷体" w:hAnsi="华文楷体" w:eastAsia="华文楷体" w:cs="华文楷体"/>
          <w:b/>
          <w:bCs/>
          <w:sz w:val="32"/>
          <w:szCs w:val="32"/>
        </w:rPr>
        <w:t>附件</w:t>
      </w:r>
      <w:r>
        <w:rPr>
          <w:rFonts w:ascii="华文楷体" w:hAnsi="华文楷体" w:eastAsia="华文楷体" w:cs="华文楷体"/>
          <w:b/>
          <w:bCs/>
          <w:sz w:val="32"/>
          <w:szCs w:val="32"/>
        </w:rPr>
        <w:t>1</w:t>
      </w:r>
      <w:r>
        <w:rPr>
          <w:rFonts w:hint="eastAsia" w:ascii="华文楷体" w:hAnsi="华文楷体" w:eastAsia="华文楷体" w:cs="华文楷体"/>
          <w:b/>
          <w:bCs/>
          <w:sz w:val="32"/>
          <w:szCs w:val="32"/>
        </w:rPr>
        <w:t>：</w:t>
      </w:r>
    </w:p>
    <w:p>
      <w:pPr>
        <w:spacing w:line="530" w:lineRule="exact"/>
        <w:jc w:val="center"/>
        <w:rPr>
          <w:rFonts w:ascii="仿宋_GB2312" w:hAnsi="仿宋_GB2312" w:eastAsia="仿宋_GB2312"/>
          <w:b/>
          <w:bCs/>
          <w:sz w:val="32"/>
          <w:szCs w:val="32"/>
        </w:rPr>
      </w:pPr>
    </w:p>
    <w:p>
      <w:pPr>
        <w:spacing w:line="530" w:lineRule="exact"/>
        <w:jc w:val="center"/>
        <w:rPr>
          <w:rFonts w:ascii="华文中宋" w:hAnsi="华文中宋" w:eastAsia="华文中宋"/>
          <w:sz w:val="40"/>
          <w:szCs w:val="40"/>
        </w:rPr>
      </w:pPr>
      <w:r>
        <w:rPr>
          <w:rFonts w:ascii="华文中宋" w:hAnsi="华文中宋" w:eastAsia="华文中宋" w:cs="华文中宋"/>
          <w:sz w:val="40"/>
          <w:szCs w:val="40"/>
        </w:rPr>
        <w:t>2021-2022</w:t>
      </w:r>
      <w:r>
        <w:rPr>
          <w:rFonts w:hint="eastAsia" w:ascii="华文中宋" w:hAnsi="华文中宋" w:eastAsia="华文中宋" w:cs="华文中宋"/>
          <w:sz w:val="40"/>
          <w:szCs w:val="40"/>
        </w:rPr>
        <w:t>年度连云港市社科课题指南</w:t>
      </w:r>
    </w:p>
    <w:p>
      <w:pPr>
        <w:spacing w:line="530" w:lineRule="exact"/>
        <w:jc w:val="left"/>
        <w:rPr>
          <w:rFonts w:ascii="仿宋_GB2312" w:hAnsi="仿宋_GB2312" w:eastAsia="仿宋_GB2312"/>
          <w:b/>
          <w:bCs/>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一、马列·科社</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、推进习近平新时代中国特色社会主义思想大众化研究▲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、基本实现社会主义现代化对文化发展提出的新目标新要求研究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、习近平总书记关于全面建成小康社会重要论述研究（或全面建成小康社会相关专题研究）▲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、习近平新时代中国特色社会主义经济思想研究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、习近平生态文明思想研究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6</w:t>
      </w:r>
      <w:r>
        <w:rPr>
          <w:rFonts w:hint="eastAsia" w:ascii="仿宋_GB2312" w:eastAsia="仿宋_GB2312" w:cs="仿宋_GB2312"/>
          <w:kern w:val="0"/>
          <w:sz w:val="32"/>
          <w:szCs w:val="32"/>
        </w:rPr>
        <w:t>、习近平法治思想研究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7</w:t>
      </w:r>
      <w:r>
        <w:rPr>
          <w:rFonts w:hint="eastAsia" w:ascii="仿宋_GB2312" w:eastAsia="仿宋_GB2312" w:cs="仿宋_GB2312"/>
          <w:kern w:val="0"/>
          <w:sz w:val="32"/>
          <w:szCs w:val="32"/>
        </w:rPr>
        <w:t>、连云港市“十四五”哲学社会科学规划研究及文本编制▲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8</w:t>
      </w:r>
      <w:r>
        <w:rPr>
          <w:rFonts w:hint="eastAsia" w:ascii="仿宋_GB2312" w:eastAsia="仿宋_GB2312" w:cs="仿宋_GB2312"/>
          <w:kern w:val="0"/>
          <w:sz w:val="32"/>
          <w:szCs w:val="32"/>
        </w:rPr>
        <w:t>、学习贯彻党的十九届五中全会精神，推进宣传思想治理体系和治理能力现代化工作研究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9</w:t>
      </w:r>
      <w:r>
        <w:rPr>
          <w:rFonts w:hint="eastAsia" w:ascii="仿宋_GB2312" w:eastAsia="仿宋_GB2312" w:cs="仿宋_GB2312"/>
          <w:kern w:val="0"/>
          <w:sz w:val="32"/>
          <w:szCs w:val="32"/>
        </w:rPr>
        <w:t>、马克思主义经典文献及其当代价值研究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10</w:t>
      </w:r>
      <w:r>
        <w:rPr>
          <w:rFonts w:hint="eastAsia" w:ascii="仿宋_GB2312" w:eastAsia="仿宋_GB2312" w:cs="仿宋_GB2312"/>
          <w:kern w:val="0"/>
          <w:sz w:val="32"/>
          <w:szCs w:val="32"/>
        </w:rPr>
        <w:t>、新时期理论武装及理论传播创新路径研究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11</w:t>
      </w:r>
      <w:r>
        <w:rPr>
          <w:rFonts w:hint="eastAsia" w:ascii="仿宋_GB2312" w:eastAsia="仿宋_GB2312" w:cs="仿宋_GB2312"/>
          <w:kern w:val="0"/>
          <w:sz w:val="32"/>
          <w:szCs w:val="32"/>
        </w:rPr>
        <w:t>、党委（党组）中心组学习效果有效评估机制研究▲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12</w:t>
      </w:r>
      <w:r>
        <w:rPr>
          <w:rFonts w:hint="eastAsia" w:ascii="仿宋_GB2312" w:eastAsia="仿宋_GB2312" w:cs="仿宋_GB2312"/>
          <w:kern w:val="0"/>
          <w:sz w:val="32"/>
          <w:szCs w:val="32"/>
        </w:rPr>
        <w:t>、习近平总书记关于总体国家安全观重要论述研究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13</w:t>
      </w:r>
      <w:r>
        <w:rPr>
          <w:rFonts w:hint="eastAsia" w:ascii="仿宋_GB2312" w:eastAsia="仿宋_GB2312" w:cs="仿宋_GB2312"/>
          <w:kern w:val="0"/>
          <w:sz w:val="32"/>
          <w:szCs w:val="32"/>
        </w:rPr>
        <w:t>、连云港基层贯彻执行“一条例两纲要”（《中国共产党宣传工作条例》和《新时代公民道德建设实施纲要》、《新时代爱国主义教育实施纲要》）存在的问题和建议研究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14</w:t>
      </w:r>
      <w:r>
        <w:rPr>
          <w:rFonts w:hint="eastAsia" w:ascii="仿宋_GB2312" w:eastAsia="仿宋_GB2312" w:cs="仿宋_GB2312"/>
          <w:kern w:val="0"/>
          <w:sz w:val="32"/>
          <w:szCs w:val="32"/>
        </w:rPr>
        <w:t>、“十四五”时期加强和改进意识形态建设和管理研究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15</w:t>
      </w:r>
      <w:r>
        <w:rPr>
          <w:rFonts w:hint="eastAsia" w:ascii="仿宋_GB2312" w:eastAsia="仿宋_GB2312" w:cs="仿宋_GB2312"/>
          <w:kern w:val="0"/>
          <w:sz w:val="32"/>
          <w:szCs w:val="32"/>
        </w:rPr>
        <w:t>、“学习强国”学习平台应用推广与学习型党组织建设研究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16</w:t>
      </w:r>
      <w:r>
        <w:rPr>
          <w:rFonts w:hint="eastAsia" w:ascii="仿宋_GB2312" w:eastAsia="仿宋_GB2312" w:cs="仿宋_GB2312"/>
          <w:kern w:val="0"/>
          <w:sz w:val="32"/>
          <w:szCs w:val="32"/>
        </w:rPr>
        <w:t>、连云港市新时代文明实践中心建设路径和典型案例研究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17</w:t>
      </w:r>
      <w:r>
        <w:rPr>
          <w:rFonts w:hint="eastAsia" w:ascii="仿宋_GB2312" w:eastAsia="仿宋_GB2312" w:cs="仿宋_GB2312"/>
          <w:kern w:val="0"/>
          <w:sz w:val="32"/>
          <w:szCs w:val="32"/>
        </w:rPr>
        <w:t>、连云港市县级融媒体中心建设路径和典型案例研究</w:t>
      </w:r>
    </w:p>
    <w:p>
      <w:pPr>
        <w:spacing w:line="530" w:lineRule="exact"/>
        <w:jc w:val="left"/>
        <w:rPr>
          <w:rFonts w:ascii="仿宋_GB2312" w:eastAsia="仿宋_GB2312"/>
          <w:kern w:val="0"/>
          <w:sz w:val="32"/>
          <w:szCs w:val="32"/>
        </w:rPr>
      </w:pPr>
      <w:r>
        <w:rPr>
          <w:rFonts w:ascii="仿宋_GB2312" w:eastAsia="仿宋_GB2312" w:cs="仿宋_GB2312"/>
          <w:kern w:val="0"/>
          <w:sz w:val="32"/>
          <w:szCs w:val="32"/>
        </w:rPr>
        <w:t>18</w:t>
      </w:r>
      <w:r>
        <w:rPr>
          <w:rFonts w:hint="eastAsia" w:ascii="仿宋_GB2312" w:eastAsia="仿宋_GB2312" w:cs="仿宋_GB2312"/>
          <w:kern w:val="0"/>
          <w:sz w:val="32"/>
          <w:szCs w:val="32"/>
        </w:rPr>
        <w:t>、新时代网络安全风险治理机制研究</w:t>
      </w: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二、党史、新中国史、改革开放史、社会主义发展史</w:t>
      </w:r>
    </w:p>
    <w:p>
      <w:pPr>
        <w:numPr>
          <w:ilvl w:val="0"/>
          <w:numId w:val="1"/>
        </w:num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习近平总书记关于“四史”的重要论述研究</w:t>
      </w:r>
    </w:p>
    <w:p>
      <w:pPr>
        <w:numPr>
          <w:ilvl w:val="0"/>
          <w:numId w:val="1"/>
        </w:num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习近平总书记关于党的建设和组织工作的重要论述研究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、中国共产党开创中国特色社会主义道路、理论体系、制度、文化的历史经验研究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、习近平总书记关于中国共产党的领导是中国特色社会主义最本质特征重要论述研究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、习近平总书记关于牢记初心使命重要论述研究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、习近平总书记关于新时代开展伟大斗争重要论述研究新时代</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、习近平总书记关于将全面深化改革进行到底重要论述研究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、党的十八大以来以习近平同志为核心的党中央治国理政的重大理论和实践成果研究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、党的十八大以来以人民为中心的思想实践研究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、党的十八大以来脱贫攻坚工作的基本经验研究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、新时代坚持和发展中国特色社会主义研究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、新时代以新发展理念引领高质量发展研究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、中国特色社会主义的理论渊源、发展脉络、实践逻辑研究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、中国共产党革命奋斗史研究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、中国共产党领导中国革命、建设和改革历史经验研究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、中国共产党革命文化发展史研究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、中国共产党革命精神谱系研究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、中国共产党理论创新史研究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、中国共产党百年历史进程和基本经验研究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、中国共产党百年建设史研究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21</w:t>
      </w:r>
      <w:r>
        <w:rPr>
          <w:rFonts w:hint="eastAsia" w:ascii="仿宋_GB2312" w:hAnsi="仿宋_GB2312" w:eastAsia="仿宋_GB2312" w:cs="仿宋_GB2312"/>
          <w:color w:val="000000"/>
          <w:kern w:val="0"/>
          <w:sz w:val="32"/>
          <w:szCs w:val="32"/>
        </w:rPr>
        <w:t>、中国共产党百年指导思想创新史研究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、中国共产党领导实现全面建成小康社会的历程与经验研究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、中国共产党领导中华民族伟大复兴的历史经验研究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24</w:t>
      </w:r>
      <w:r>
        <w:rPr>
          <w:rFonts w:hint="eastAsia" w:ascii="仿宋_GB2312" w:hAnsi="仿宋_GB2312" w:eastAsia="仿宋_GB2312" w:cs="仿宋_GB2312"/>
          <w:color w:val="000000"/>
          <w:kern w:val="0"/>
          <w:sz w:val="32"/>
          <w:szCs w:val="32"/>
        </w:rPr>
        <w:t>、中国共产党领导经济建设、政治建设、文化建设、社会建设、生态文明建设的历史经验研究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、连云港红色文化资源的保护、挖掘、整理、利用研究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26</w:t>
      </w:r>
      <w:r>
        <w:rPr>
          <w:rFonts w:hint="eastAsia" w:ascii="仿宋_GB2312" w:hAnsi="仿宋_GB2312" w:eastAsia="仿宋_GB2312" w:cs="仿宋_GB2312"/>
          <w:color w:val="000000"/>
          <w:kern w:val="0"/>
          <w:sz w:val="32"/>
          <w:szCs w:val="32"/>
        </w:rPr>
        <w:t>、开山岛精神研究</w:t>
      </w:r>
      <w:r>
        <w:rPr>
          <w:rFonts w:hint="eastAsia" w:ascii="仿宋_GB2312" w:eastAsia="仿宋_GB2312" w:cs="仿宋_GB2312"/>
          <w:kern w:val="0"/>
          <w:sz w:val="32"/>
          <w:szCs w:val="32"/>
        </w:rPr>
        <w:t>▲</w:t>
      </w:r>
    </w:p>
    <w:p>
      <w:pPr>
        <w:spacing w:line="530" w:lineRule="exact"/>
        <w:jc w:val="left"/>
        <w:rPr>
          <w:rFonts w:ascii="仿宋_GB2312" w:eastAsia="仿宋_GB2312"/>
          <w:kern w:val="0"/>
          <w:sz w:val="32"/>
          <w:szCs w:val="32"/>
        </w:rPr>
      </w:pPr>
      <w:r>
        <w:rPr>
          <w:rFonts w:ascii="仿宋_GB2312" w:hAnsi="仿宋_GB2312" w:eastAsia="仿宋_GB2312" w:cs="仿宋_GB2312"/>
          <w:color w:val="000000"/>
          <w:kern w:val="0"/>
          <w:sz w:val="32"/>
          <w:szCs w:val="32"/>
        </w:rPr>
        <w:t>27</w:t>
      </w:r>
      <w:r>
        <w:rPr>
          <w:rFonts w:hint="eastAsia" w:ascii="仿宋_GB2312" w:hAnsi="仿宋_GB2312" w:eastAsia="仿宋_GB2312" w:cs="仿宋_GB2312"/>
          <w:color w:val="000000"/>
          <w:kern w:val="0"/>
          <w:sz w:val="32"/>
          <w:szCs w:val="32"/>
        </w:rPr>
        <w:t>、连云港地方历史研究</w:t>
      </w:r>
      <w:r>
        <w:rPr>
          <w:rFonts w:hint="eastAsia" w:ascii="仿宋_GB2312" w:eastAsia="仿宋_GB2312" w:cs="仿宋_GB2312"/>
          <w:kern w:val="0"/>
          <w:sz w:val="32"/>
          <w:szCs w:val="32"/>
        </w:rPr>
        <w:t>▲</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三、哲学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、习近平新时代中国特色社会主义思想的哲学研究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、新农村建设的社会伦理问题研究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、智能化社会的哲学命题与问题研究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、连云港开启社会主义现代化新征程的理论与实践探索研究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、连云港公共道德舆论引导策略与机制研究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四、经济学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、连云港市高质量发展与现代化经济体系构建研究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、紧抓自贸试验区建设契机，打造“一带一路”强支点研究</w:t>
      </w:r>
      <w:r>
        <w:rPr>
          <w:rFonts w:hint="eastAsia" w:ascii="仿宋_GB2312" w:eastAsia="仿宋_GB2312" w:cs="仿宋_GB2312"/>
          <w:kern w:val="0"/>
          <w:sz w:val="32"/>
          <w:szCs w:val="32"/>
        </w:rPr>
        <w:t>▲</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、连云港主动应对重大金融风险挑战的对策研究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、连云港市践行“争当表率、争做示范、走在前列”新使命的路径研究</w:t>
      </w:r>
      <w:r>
        <w:rPr>
          <w:rFonts w:hint="eastAsia" w:ascii="仿宋_GB2312" w:eastAsia="仿宋_GB2312" w:cs="仿宋_GB2312"/>
          <w:kern w:val="0"/>
          <w:sz w:val="32"/>
          <w:szCs w:val="32"/>
        </w:rPr>
        <w:t>▲</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、连云港发展不平衡不充分问题及其应对策略研究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、连云港企业提升“走出去”能力的对策研究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、疫情防控常态化下促进连云港消费的政策体系创新研究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、连云港形成高水平对外开放格局的目标与实现路径研究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、连云港深入推进乡村经济振兴策略研究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、对接长三角区域一体化发展等战略，推进连云港产业强市研究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、连云港推进沿海经济带高质量发展研究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、连云港民营经济高质量发展的现实路径研究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、数字经济发展连云港精准施策战略与实施路径研究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、连云港传统制造业创新路径及政策支持研究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、促进连云港金融服务实体经济政策体系研究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、连云港培育创新型产业领军企业的环境建设与政策优化研究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、外部不确定性与连云港对外贸易风险防控研究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、连云港新阶段深化供给侧结构性改革的方向与策略研究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、连云港企业家应对当前经济形势纾困策略研究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、基层期盼减轻负担的内容及提升工作效率问题研究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21</w:t>
      </w:r>
      <w:r>
        <w:rPr>
          <w:rFonts w:hint="eastAsia" w:ascii="仿宋_GB2312" w:hAnsi="仿宋_GB2312" w:eastAsia="仿宋_GB2312" w:cs="仿宋_GB2312"/>
          <w:color w:val="000000"/>
          <w:kern w:val="0"/>
          <w:sz w:val="32"/>
          <w:szCs w:val="32"/>
        </w:rPr>
        <w:t>、促进数字经济与实体经济深度融合研究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、连云港国有企业在“一带一路”沿线海外投资和海外资产的国家监管研究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、连云港民营经济高质量发展的金融支持政策研究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24</w:t>
      </w:r>
      <w:r>
        <w:rPr>
          <w:rFonts w:hint="eastAsia" w:ascii="仿宋_GB2312" w:hAnsi="仿宋_GB2312" w:eastAsia="仿宋_GB2312" w:cs="仿宋_GB2312"/>
          <w:color w:val="000000"/>
          <w:kern w:val="0"/>
          <w:sz w:val="32"/>
          <w:szCs w:val="32"/>
        </w:rPr>
        <w:t>、双循环背景下连云港外贸型企业转型升级研究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25</w:t>
      </w:r>
      <w:r>
        <w:rPr>
          <w:rFonts w:hint="eastAsia" w:ascii="仿宋_GB2312" w:hAnsi="仿宋_GB2312" w:eastAsia="仿宋_GB2312" w:cs="仿宋_GB2312"/>
          <w:color w:val="000000"/>
          <w:kern w:val="0"/>
          <w:sz w:val="32"/>
          <w:szCs w:val="32"/>
        </w:rPr>
        <w:t>、实施乡村振兴战略创新农村发展路径研究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五、管理学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、连云港高质量发展综合考核体系研究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、政协专门协商机构在国家治理体系中的定位和运行机理研究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、“一带一路”倡议下连云港市跨境电商服务创新研究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、农业社会化服务促进农业适度规模经营的机制与对策研究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、连云港新型农村集体经济组织形式创新与政策支持研究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、连云港工匠精神培育机制研究</w:t>
      </w:r>
    </w:p>
    <w:p>
      <w:pPr>
        <w:spacing w:line="530" w:lineRule="exact"/>
        <w:jc w:val="left"/>
        <w:rPr>
          <w:rFonts w:ascii="仿宋_GB2312" w:hAnsi="仿宋_GB2312" w:eastAsia="仿宋_GB2312"/>
          <w:b/>
          <w:bCs/>
          <w:color w:val="FF0000"/>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、用区块链技术做好大数据形态下技能型人才管理工作研究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连云港创新创业人才成长环境优化研究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、连云港公共财政支持技术创新模式研究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、改革完善重大疫情防控应急体系响应机制研究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、新经济业态下连云港企业劳动力需求与供给研究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、连云港新型智库建设的调查、评价与建设研究</w:t>
      </w:r>
      <w:r>
        <w:rPr>
          <w:rFonts w:hint="eastAsia" w:ascii="仿宋_GB2312" w:eastAsia="仿宋_GB2312" w:cs="仿宋_GB2312"/>
          <w:kern w:val="0"/>
          <w:sz w:val="32"/>
          <w:szCs w:val="32"/>
        </w:rPr>
        <w:t>▲</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、连云港企业参与“一带一路”沿线国家建设的经验研究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14</w:t>
      </w:r>
      <w:r>
        <w:rPr>
          <w:rFonts w:hint="eastAsia" w:ascii="仿宋_GB2312" w:hAnsi="仿宋_GB2312" w:eastAsia="仿宋_GB2312" w:cs="仿宋_GB2312"/>
          <w:color w:val="000000"/>
          <w:kern w:val="0"/>
          <w:sz w:val="32"/>
          <w:szCs w:val="32"/>
        </w:rPr>
        <w:t>、连云港新能源、新医药产业可持续发展战略研究</w:t>
      </w:r>
    </w:p>
    <w:p>
      <w:pPr>
        <w:spacing w:line="530" w:lineRule="exact"/>
        <w:jc w:val="left"/>
        <w:rPr>
          <w:rFonts w:ascii="仿宋_GB2312" w:hAnsi="仿宋_GB2312" w:eastAsia="仿宋_GB2312"/>
          <w:b/>
          <w:bCs/>
          <w:color w:val="FF0000"/>
          <w:kern w:val="0"/>
          <w:sz w:val="32"/>
          <w:szCs w:val="32"/>
        </w:rPr>
      </w:pPr>
      <w:r>
        <w:rPr>
          <w:rFonts w:ascii="仿宋_GB2312" w:hAnsi="仿宋_GB2312" w:eastAsia="仿宋_GB2312" w:cs="仿宋_GB2312"/>
          <w:kern w:val="0"/>
          <w:sz w:val="32"/>
          <w:szCs w:val="32"/>
        </w:rPr>
        <w:t>15</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连云港新时代营商环境的短板与政策创新研究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、公共危机管理中政府精准施策问题研究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17</w:t>
      </w:r>
      <w:r>
        <w:rPr>
          <w:rFonts w:hint="eastAsia" w:ascii="仿宋_GB2312" w:hAnsi="仿宋_GB2312" w:eastAsia="仿宋_GB2312" w:cs="仿宋_GB2312"/>
          <w:color w:val="000000"/>
          <w:kern w:val="0"/>
          <w:sz w:val="32"/>
          <w:szCs w:val="32"/>
        </w:rPr>
        <w:t>、应对公共卫生突发事件情况下社会心态调整研究</w:t>
      </w:r>
    </w:p>
    <w:p>
      <w:pPr>
        <w:spacing w:line="530" w:lineRule="exact"/>
        <w:jc w:val="left"/>
        <w:rPr>
          <w:rFonts w:ascii="仿宋_GB2312" w:hAnsi="仿宋_GB2312" w:eastAsia="仿宋_GB2312"/>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六、政治学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、中国特色社会主义政治学学科体系、学术体系和话语体系研究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、新时代政府治理和社会调节、居民自治良性互动的社区治理体系研究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、连云港“放管服”改革的经验、问题及对策研究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、连云港深化鼓励激励、容错纠错、能上能下“三项机制”研究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、连云港基本公共服务标准体系建设研究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、中国共产党领导的多党合作经验启示和规律认识</w:t>
      </w:r>
    </w:p>
    <w:p>
      <w:pPr>
        <w:spacing w:line="530" w:lineRule="exact"/>
        <w:jc w:val="left"/>
        <w:rPr>
          <w:rFonts w:ascii="仿宋_GB2312" w:hAnsi="仿宋_GB2312" w:eastAsia="仿宋_GB2312"/>
          <w:b/>
          <w:bCs/>
          <w:color w:val="000000"/>
          <w:kern w:val="0"/>
          <w:sz w:val="32"/>
          <w:szCs w:val="32"/>
        </w:rPr>
      </w:pPr>
    </w:p>
    <w:p>
      <w:pPr>
        <w:spacing w:line="530" w:lineRule="exact"/>
        <w:jc w:val="left"/>
        <w:rPr>
          <w:rFonts w:ascii="仿宋_GB2312" w:hAnsi="仿宋_GB2312" w:eastAsia="仿宋_GB2312"/>
          <w:b/>
          <w:bCs/>
          <w:color w:val="000000"/>
          <w:kern w:val="0"/>
          <w:sz w:val="32"/>
          <w:szCs w:val="32"/>
        </w:rPr>
      </w:pPr>
      <w:r>
        <w:rPr>
          <w:rFonts w:hint="eastAsia" w:ascii="仿宋_GB2312" w:hAnsi="仿宋_GB2312" w:eastAsia="仿宋_GB2312" w:cs="仿宋_GB2312"/>
          <w:b/>
          <w:bCs/>
          <w:color w:val="000000"/>
          <w:kern w:val="0"/>
          <w:sz w:val="32"/>
          <w:szCs w:val="32"/>
        </w:rPr>
        <w:t>七、社会学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、新时期连云港重大社会风险的评估与防范研究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、互联网大数据背景下运用模块化管理机制完善社区养老模式研究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、乡村振兴战略背景下连云港农村劳动力流动特点和规律研究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、连云港基层社会治理与基本公共服务融合发展研究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、连云港市文化与新时代城市精神研究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、新时代构建多层次、可持续社会保障体系研究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、新时代企业退休人员养老模式的探索与研究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、乡村振兴战略下连云港返乡创业的现状与对策研究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、连云港地权流转与乡村社会治理研究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、连云港文化事业与文化产业发展研究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、新的社会阶层的历史演变与发展趋势及对中国社会阶层结构变化的影响</w:t>
      </w:r>
    </w:p>
    <w:p>
      <w:pPr>
        <w:spacing w:line="530" w:lineRule="exact"/>
        <w:jc w:val="left"/>
        <w:rPr>
          <w:rFonts w:ascii="仿宋_GB2312" w:hAnsi="仿宋_GB2312" w:eastAsia="仿宋_GB2312"/>
          <w:color w:val="000000"/>
          <w:kern w:val="0"/>
          <w:sz w:val="32"/>
          <w:szCs w:val="32"/>
        </w:rPr>
      </w:pPr>
      <w:r>
        <w:rPr>
          <w:rFonts w:hint="eastAsia" w:ascii="仿宋_GB2312" w:hAnsi="仿宋_GB2312" w:eastAsia="仿宋_GB2312" w:cs="仿宋_GB2312"/>
          <w:b/>
          <w:bCs/>
          <w:color w:val="000000"/>
          <w:kern w:val="0"/>
          <w:sz w:val="32"/>
          <w:szCs w:val="32"/>
        </w:rPr>
        <w:t>八、新闻学</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、习近平总书记关于新闻舆论工作重要论述研究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、中国特色新闻学学科体系、学术体系和话语体系研究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、新时代连云港对外传播研究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、连云港市级主流媒体深度融合发展路径探析</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、新时代主流媒体创新传播研究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、新时代连云港政务媒体转型与创新传播研究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、基于区块链的数字版权研究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、以区块链推动新一代信息技术产业发展研究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、人工智能背景下信息传播前沿问题研究</w:t>
      </w:r>
    </w:p>
    <w:p>
      <w:pPr>
        <w:spacing w:line="530" w:lineRule="exact"/>
        <w:jc w:val="left"/>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、《西游记》文化品牌的挖掘与传播研究</w:t>
      </w:r>
    </w:p>
    <w:p>
      <w:pPr>
        <w:spacing w:line="530" w:lineRule="exact"/>
        <w:ind w:firstLine="640" w:firstLineChars="200"/>
        <w:jc w:val="left"/>
        <w:rPr>
          <w:rFonts w:ascii="仿宋_GB2312" w:hAnsi="仿宋_GB2312" w:eastAsia="仿宋_GB2312"/>
          <w:color w:val="000000"/>
          <w:kern w:val="0"/>
          <w:sz w:val="32"/>
          <w:szCs w:val="32"/>
        </w:rPr>
      </w:pPr>
      <w:r>
        <w:rPr>
          <w:rFonts w:hint="eastAsia" w:ascii="仿宋_GB2312" w:eastAsia="仿宋_GB2312" w:cs="仿宋_GB2312"/>
          <w:kern w:val="0"/>
          <w:sz w:val="32"/>
          <w:szCs w:val="32"/>
        </w:rPr>
        <w:t>说明：加▲为专项委托课题选题参考，</w:t>
      </w:r>
      <w:r>
        <w:rPr>
          <w:rFonts w:ascii="仿宋_GB2312" w:eastAsia="仿宋_GB2312" w:cs="仿宋_GB2312"/>
          <w:kern w:val="0"/>
          <w:sz w:val="32"/>
          <w:szCs w:val="32"/>
        </w:rPr>
        <w:t>2021</w:t>
      </w:r>
      <w:r>
        <w:rPr>
          <w:rFonts w:hint="eastAsia" w:ascii="仿宋_GB2312" w:eastAsia="仿宋_GB2312" w:cs="仿宋_GB2312"/>
          <w:kern w:val="0"/>
          <w:sz w:val="32"/>
          <w:szCs w:val="32"/>
        </w:rPr>
        <w:t>年底前需提交最终研究成果。法学、历史学、中外文学、教育学、体育学等选题指南参考省社科规划课题指南。</w:t>
      </w: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pPr>
        <w:spacing w:line="560" w:lineRule="exact"/>
        <w:jc w:val="left"/>
        <w:rPr>
          <w:rFonts w:ascii="华文楷体" w:hAnsi="华文楷体" w:eastAsia="华文楷体"/>
          <w:sz w:val="32"/>
          <w:szCs w:val="32"/>
        </w:rPr>
      </w:pPr>
    </w:p>
    <w:p>
      <w:bookmarkStart w:id="0" w:name="_GoBack"/>
      <w:bookmarkEnd w:id="0"/>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3</w:t>
    </w:r>
    <w:r>
      <w:rPr>
        <w:sz w:val="30"/>
        <w:szCs w:val="30"/>
      </w:rPr>
      <w:fldChar w:fldCharType="end"/>
    </w:r>
    <w:r>
      <w:rPr>
        <w:sz w:val="30"/>
        <w:szCs w:val="30"/>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E5FC1"/>
    <w:multiLevelType w:val="singleLevel"/>
    <w:tmpl w:val="643E5F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B1EA9"/>
    <w:rsid w:val="0004045A"/>
    <w:rsid w:val="00062944"/>
    <w:rsid w:val="0010164D"/>
    <w:rsid w:val="00235D13"/>
    <w:rsid w:val="00361371"/>
    <w:rsid w:val="004251F7"/>
    <w:rsid w:val="0043367E"/>
    <w:rsid w:val="00451358"/>
    <w:rsid w:val="004F02EC"/>
    <w:rsid w:val="005A0427"/>
    <w:rsid w:val="005B689F"/>
    <w:rsid w:val="00631A24"/>
    <w:rsid w:val="00763D48"/>
    <w:rsid w:val="007B2A60"/>
    <w:rsid w:val="008C181A"/>
    <w:rsid w:val="009338A2"/>
    <w:rsid w:val="00A462F2"/>
    <w:rsid w:val="00A93FEF"/>
    <w:rsid w:val="00AE00AA"/>
    <w:rsid w:val="00B35B6C"/>
    <w:rsid w:val="00B37CF6"/>
    <w:rsid w:val="00C47DD1"/>
    <w:rsid w:val="00DE62F2"/>
    <w:rsid w:val="00EB1EA9"/>
    <w:rsid w:val="00ED7FA8"/>
    <w:rsid w:val="18D11123"/>
    <w:rsid w:val="30AF6CC4"/>
    <w:rsid w:val="37E870D3"/>
    <w:rsid w:val="40091592"/>
    <w:rsid w:val="513363F8"/>
    <w:rsid w:val="55F127FF"/>
    <w:rsid w:val="55FD21EF"/>
    <w:rsid w:val="5D620A99"/>
    <w:rsid w:val="6C3813B1"/>
    <w:rsid w:val="748C1D3C"/>
    <w:rsid w:val="74A25C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8"/>
    <w:qFormat/>
    <w:uiPriority w:val="99"/>
    <w:pPr>
      <w:spacing w:beforeAutospacing="1"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标题 2 Char"/>
    <w:basedOn w:val="7"/>
    <w:link w:val="2"/>
    <w:semiHidden/>
    <w:qFormat/>
    <w:locked/>
    <w:uiPriority w:val="99"/>
    <w:rPr>
      <w:rFonts w:ascii="Cambria" w:hAnsi="Cambria" w:eastAsia="宋体" w:cs="Cambria"/>
      <w:b/>
      <w:bCs/>
      <w:sz w:val="32"/>
      <w:szCs w:val="32"/>
    </w:rPr>
  </w:style>
  <w:style w:type="character" w:customStyle="1" w:styleId="9">
    <w:name w:val="页脚 Char"/>
    <w:basedOn w:val="7"/>
    <w:link w:val="3"/>
    <w:semiHidden/>
    <w:qFormat/>
    <w:locked/>
    <w:uiPriority w:val="99"/>
    <w:rPr>
      <w:sz w:val="18"/>
      <w:szCs w:val="18"/>
    </w:rPr>
  </w:style>
  <w:style w:type="character" w:customStyle="1" w:styleId="10">
    <w:name w:val="页眉 Char"/>
    <w:basedOn w:val="7"/>
    <w:link w:val="4"/>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1123</Words>
  <Characters>6402</Characters>
  <Lines>53</Lines>
  <Paragraphs>15</Paragraphs>
  <TotalTime>3</TotalTime>
  <ScaleCrop>false</ScaleCrop>
  <LinksUpToDate>false</LinksUpToDate>
  <CharactersWithSpaces>7510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2021-05-27T01:06:00Z</dcterms:created>
  <dc:creator>Administrator</dc:creator>
  <cp:lastModifiedBy>周妞</cp:lastModifiedBy>
  <cp:lastPrinted>2021-05-27T01:05:00Z</cp:lastPrinted>
  <dcterms:modified xsi:type="dcterms:W3CDTF">2021-06-03T10:30:16Z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6743CC37DB634085B0097817F0CE18F0</vt:lpwstr>
  </property>
</Properties>
</file>